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обработки персональных данных</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r>
        <w:t>Эта редакция охватывает обработку обращений, медицинских, кадровых и договорных сведений. Реестр процессов, обработчиков и сроков должен соответствовать фактической работе оператора. Заполненные реквизиты сами по себе этого не подтверждают.</w:t>
      </w:r>
    </w:p>
    <w:p>
      <w:pPr>
        <w:pStyle w:val="ListBullet"/>
        <w:numPr>
          <w:ilvl w:val="0"/>
          <w:numId w:val="10"/>
        </w:numPr>
      </w:pPr>
      <w:r>
        <w:t>Утверждена __________ (реквизиты утверждающего приказа). Редакция от 11.09.2026.</w:t>
      </w:r>
    </w:p>
    <w:p>
      <w:pPr>
        <w:pStyle w:val="Heading1"/>
      </w:pPr>
      <w:r>
        <w:t>1. Оператор и область действия</w:t>
      </w:r>
    </w:p>
    <w:p>
      <w:pPr>
        <w:pStyle w:val="ListBullet"/>
        <w:numPr>
          <w:ilvl w:val="0"/>
          <w:numId w:val="10"/>
        </w:numPr>
      </w:pPr>
      <w:r>
        <w:t>Оператор — ООО «ДИАМЕД», ИНН 5018146360, ОГРН 1105018005234. Адрес по ЕГРЮЛ: 141080, Московская область, г. Королёв, ул. Горького, д. 2А, помещ. VI. Почтовый адрес для обращений: 141080, Московская область, г. Королёв, ул. Горького, д. 2А, помещ. VI. Электронная почта: korolev@diamed.group. Страницы и формы сайта delomedika.ru, относящиеся к Оператору: __________ (страницы и формы, оператором которых фактически является эта организация).</w:t>
      </w:r>
    </w:p>
    <w:p>
      <w:pPr>
        <w:pStyle w:val="ListBullet"/>
        <w:numPr>
          <w:ilvl w:val="0"/>
          <w:numId w:val="10"/>
        </w:numPr>
      </w:pPr>
      <w:r>
        <w:t>Политика описывает данные, которые обрабатывает Оператор, цели обработки, получателей и порядок обращения по вопросам защиты данных. Она распространяется на процессы этого Оператора. При обращении в другую организацию применяется её политика. Работа под одним брендом не разрешает передавать сведения всем компаниям сети без основания.</w:t>
      </w:r>
    </w:p>
    <w:p>
      <w:pPr>
        <w:pStyle w:val="Heading1"/>
      </w:pPr>
      <w:r>
        <w:t>2. Обращения и запись</w:t>
      </w:r>
    </w:p>
    <w:p>
      <w:pPr>
        <w:pStyle w:val="ListBullet"/>
        <w:numPr>
          <w:ilvl w:val="0"/>
          <w:numId w:val="10"/>
        </w:numPr>
      </w:pPr>
      <w:r>
        <w:t>Для ответа на заявку используются телефон, имя, если оно указано, выбранный центр и сведения, необходимые для организации обращения. Обычная форма обратного звонка не запрашивает диагнозы, паспорт и медицинские файлы. Для каждой формы заранее определяется основание обработки: отдельное согласие либо применимое основание заключения договора по инициативе заявителя.</w:t>
      </w:r>
    </w:p>
    <w:p>
      <w:pPr>
        <w:pStyle w:val="ListBullet"/>
        <w:numPr>
          <w:ilvl w:val="0"/>
          <w:numId w:val="10"/>
        </w:numPr>
      </w:pPr>
      <w:r>
        <w:t>Сведения из заявки нужны для связи и организации обращения. После достижения этой цели они удаляются не позднее 30 дней, если не появилось другое законное основание, например заключённый договор. Состав доказательств обработки, основание и срок их хранения: __________ (состав, условие обработки и срок хранения доказательств согласия). Подписка на рекламу оформляется отдельно.</w:t>
      </w:r>
    </w:p>
    <w:p>
      <w:pPr>
        <w:pStyle w:val="Heading1"/>
      </w:pPr>
      <w:r>
        <w:t>3. Медицинская помощь</w:t>
      </w:r>
    </w:p>
    <w:p>
      <w:pPr>
        <w:pStyle w:val="ListBullet"/>
        <w:numPr>
          <w:ilvl w:val="0"/>
          <w:numId w:val="10"/>
        </w:numPr>
      </w:pPr>
      <w:r>
        <w:t>Оператор обрабатывает необходимые сведения о пациентах, их представителях и заказчиках: идентификационные и контактные данные, сведения документов и оплаты, данные о здоровье для оказания помощи и ведения медицинской документации. Основаниями служат договор, обязанности в сфере охраны здоровья и допустимые основания обработки специальных категорий данных. Когда требуется письменное согласие, оно оформляется отдельно. Доступ к медицинским сведениям предоставляется с соблюдением врачебной тайны. Информированное добровольное согласие на вмешательство оформляется по самостоятельному порядку.</w:t>
      </w:r>
    </w:p>
    <w:p>
      <w:pPr>
        <w:pStyle w:val="ListBullet"/>
        <w:numPr>
          <w:ilvl w:val="0"/>
          <w:numId w:val="10"/>
        </w:numPr>
      </w:pPr>
      <w:r>
        <w:t>Медицинские, договорные, бухгалтерские и налоговые документы хранятся в сроки, установленные для каждого вида. Перечень документов и сроки: __________ (перечень фактически используемых медицинских документов, точные сроки хранения и нормы для каждого вида). Завершение обработки заявки не отменяет обязательного хранения медицинской карты.</w:t>
      </w:r>
    </w:p>
    <w:p>
      <w:pPr>
        <w:pStyle w:val="Heading1"/>
      </w:pPr>
      <w:r>
        <w:t>4. Обращения о правах, расчёты и защита интересов</w:t>
      </w:r>
    </w:p>
    <w:p>
      <w:pPr>
        <w:pStyle w:val="ListBullet"/>
        <w:numPr>
          <w:ilvl w:val="0"/>
          <w:numId w:val="10"/>
        </w:numPr>
      </w:pPr>
      <w:r>
        <w:t>При рассмотрении претензий, выдаче документов и ответах на запросы Оператор использует необходимые сведения о заявителе, его полномочиях и предмете обращения. Для обработки применяются основания, предусмотренные законодательством о персональных данных и соответствующей сфере деятельности. Сроки зависят от вида обращения, исполнения требования и обязательного хранения документов: __________ (виды обращений нормы и сроки).</w:t>
      </w:r>
    </w:p>
    <w:p>
      <w:pPr>
        <w:pStyle w:val="Heading1"/>
      </w:pPr>
      <w:r>
        <w:t>5. Реклама, отзывы и технические сведения</w:t>
      </w:r>
    </w:p>
    <w:p>
      <w:pPr>
        <w:pStyle w:val="ListBullet"/>
        <w:numPr>
          <w:ilvl w:val="0"/>
          <w:numId w:val="10"/>
        </w:numPr>
      </w:pPr>
      <w:r>
        <w:t>Реклама направляется по выбранным каналам после отдельного разрешения. Для рассылки используются соответствующие контакты и имя, если оно указано. Согласие действует не более одного года или до более раннего отзыва, если утверждённый текст не предусматривает более короткий срок. Отказ от рекламы не влияет на получение медицинской помощи.</w:t>
      </w:r>
    </w:p>
    <w:p>
      <w:pPr>
        <w:pStyle w:val="ListBullet"/>
        <w:numPr>
          <w:ilvl w:val="0"/>
          <w:numId w:val="10"/>
        </w:numPr>
      </w:pPr>
      <w:r>
        <w:t>Для публикации отзывов, изображений и других данных требуется самостоятельное законное основание. Согласие на распространение оформляется отдельно. Медицинские сведения и врачебная тайна раскрываются только при соблюдении предусмотренных для них условий. Обязательная информация о врачах публикуется в установленном объёме; для дополнительных сведений и фотографий основания проверяются отдельно.</w:t>
      </w:r>
    </w:p>
    <w:p>
      <w:pPr>
        <w:pStyle w:val="ListBullet"/>
        <w:numPr>
          <w:ilvl w:val="0"/>
          <w:numId w:val="10"/>
        </w:numPr>
      </w:pPr>
      <w:r>
        <w:t xml:space="preserve">Технические сведения используются для работы выбранных функций, защиты сайта и, при отдельном разрешении, аналитики. Состав данных, цели, сроки, поставщики и настройки раскрыты в правилах cookies: </w:t>
      </w:r>
      <w:hyperlink r:id="rId10">
        <w:r>
          <w:rPr>
            <w:color w:val="000000"/>
            <w:u w:val="none"/>
          </w:rPr>
          <w:t>https://korolev.delomedika.ru/pravovye-dokumenty/cookies/</w:t>
        </w:r>
      </w:hyperlink>
      <w:r>
        <w:t>.</w:t>
      </w:r>
      <w:r>
        <w:t xml:space="preserve"> Изменить выбор можно через «Настройки cookies». За общую аналитику сайта отвечает оператор, который определяет её цели и указан в соответствующих правилах.</w:t>
      </w:r>
    </w:p>
    <w:p>
      <w:pPr>
        <w:pStyle w:val="Heading1"/>
      </w:pPr>
      <w:r>
        <w:t>6. Соискатели, работники и представители контрагентов</w:t>
      </w:r>
    </w:p>
    <w:p>
      <w:pPr>
        <w:pStyle w:val="ListBullet"/>
        <w:numPr>
          <w:ilvl w:val="0"/>
          <w:numId w:val="10"/>
        </w:numPr>
      </w:pPr>
      <w:r>
        <w:t>При рассмотрении отклика Оператор использует контакты, образование и опыт, которые сообщил кандидат. Основанием служит инициатива кандидата по заключению трудового договора, а при необходимости оформляется отдельное согласие. После завершения подбора данные удаляются в установленный срок. Для кадрового резерва отдельно определяются основание и срок: __________ (срок резерва).</w:t>
      </w:r>
    </w:p>
    <w:p>
      <w:pPr>
        <w:pStyle w:val="ListBullet"/>
        <w:numPr>
          <w:ilvl w:val="0"/>
          <w:numId w:val="10"/>
        </w:numPr>
      </w:pPr>
      <w:r>
        <w:t>Для трудовых отношений, учёта и обязательной отчётности используются необходимые идентификационные и контактные сведения работников, данные о работе, образовании, квалификации, выплатах и платёжных реквизитах. Сведения о семье, льготах и здоровье обрабатываются в необходимом объёме, предусмотренном законом. Состав документов и сроки хранения: __________ (категории кадровых документов, сроки хранения и применимые нормы).</w:t>
      </w:r>
    </w:p>
    <w:p>
      <w:pPr>
        <w:pStyle w:val="ListBullet"/>
        <w:numPr>
          <w:ilvl w:val="0"/>
          <w:numId w:val="10"/>
        </w:numPr>
      </w:pPr>
      <w:r>
        <w:t>Для договорной работы и связи с представителями контрагентов используются Ф. И. О., должность, полномочия и рабочие контакты. Сроки и основания: __________ (сроки и основания). Полное кадровое досье в открытом доступе не размещается.</w:t>
      </w:r>
    </w:p>
    <w:p>
      <w:pPr>
        <w:pStyle w:val="Heading1"/>
      </w:pPr>
      <w:r>
        <w:t>7. Способы, получатели и защита</w:t>
      </w:r>
    </w:p>
    <w:p>
      <w:pPr>
        <w:pStyle w:val="ListBullet"/>
        <w:numPr>
          <w:ilvl w:val="0"/>
          <w:numId w:val="10"/>
        </w:numPr>
      </w:pPr>
      <w:r>
        <w:t>Данные обрабатываются с автоматизацией и без неё. В пределах соответствующей цели допускаются сбор, запись, систематизация, накопление, хранение, уточнение, извлечение, использование, законная передача, блокирование, удаление и уничтожение. Продажа или распространение данных без основания не допускаются.</w:t>
      </w:r>
    </w:p>
    <w:p>
      <w:pPr>
        <w:pStyle w:val="ListBullet"/>
        <w:numPr>
          <w:ilvl w:val="0"/>
          <w:numId w:val="10"/>
        </w:numPr>
      </w:pPr>
      <w:r>
        <w:t>Доступ предоставляется уполномоченным сотрудникам. Подрядчики, обрабатывающие сведения по поручению: __________ (наименования и адреса обработчиков, функции и передаваемые им данные). Самостоятельные получатели, цели и основания передачи: __________ (получатели цели основания). Государственным органам данные передаются в предусмотренных законом случаях. При передаче медицинских сведений соблюдается врачебная тайна.</w:t>
      </w:r>
    </w:p>
    <w:p>
      <w:pPr>
        <w:pStyle w:val="ListBullet"/>
        <w:numPr>
          <w:ilvl w:val="0"/>
          <w:numId w:val="10"/>
        </w:numPr>
      </w:pPr>
      <w:r>
        <w:t>При сборе данных граждан России соблюдаются требования локализации. Фактическая трансграничная передача: __________ (подтверждённое наличие или отсутствие трансграничной передачи; при её наличии — страны, получатели, цели и условия). Такая передача допускается после выполнения установленных требований. Оператор ограничивает доступ, учитывает действия пользователей систем, защищает хранение и передачу, обучает сотрудников и организует реагирование на нарушения. Меры определяются с учётом используемой системы и требований закона.</w:t>
      </w:r>
    </w:p>
    <w:p>
      <w:pPr>
        <w:pStyle w:val="ListBullet"/>
        <w:numPr>
          <w:ilvl w:val="0"/>
          <w:numId w:val="10"/>
        </w:numPr>
      </w:pPr>
      <w:r>
        <w:t>Биометрическая идентификация и решения с юридическими последствиями, принимаемые исключительно автоматически, этой политикой не вводятся. До внедрения таких процессов необходимо отдельно проверить основания и оформить требуемые документы.</w:t>
      </w:r>
    </w:p>
    <w:p>
      <w:pPr>
        <w:pStyle w:val="Heading1"/>
      </w:pPr>
      <w:r>
        <w:t>8. Права и прекращение обработки</w:t>
      </w:r>
    </w:p>
    <w:p>
      <w:pPr>
        <w:pStyle w:val="ListBullet"/>
        <w:numPr>
          <w:ilvl w:val="0"/>
          <w:numId w:val="10"/>
        </w:numPr>
      </w:pPr>
      <w:r>
        <w:t>Вы вправе получить сведения об обработке своих данных, при наличии оснований потребовать их уточнения, блокирования или уничтожения, отозвать согласие и обратиться с жалобой в Роскомнадзор или суд. Контакты Оператора указаны в первом разделе. До предоставления доступа проверяются личность и полномочия заявителя; избыточные сведения не запрашиваются.</w:t>
      </w:r>
    </w:p>
    <w:p>
      <w:pPr>
        <w:pStyle w:val="ListBullet"/>
        <w:numPr>
          <w:ilvl w:val="0"/>
          <w:numId w:val="10"/>
        </w:numPr>
      </w:pPr>
      <w:r>
        <w:t>Ответ на запрос о доступе предоставляется в течение 10 рабочих дней. Мотивированное продление возможно не более чем на 5 рабочих дней. Подтверждённо неточные данные уточняются в течение 7 рабочих дней. Для прекращения обработки, отзыва согласия и уничтожения применяются сроки соответствующего требования. Если после отзыва часть обработки должна продолжаться по закону, Оператор сообщает об этом и указывает основание.</w:t>
      </w:r>
    </w:p>
    <w:p>
      <w:pPr>
        <w:pStyle w:val="ListBullet"/>
        <w:numPr>
          <w:ilvl w:val="0"/>
          <w:numId w:val="10"/>
        </w:numPr>
      </w:pPr>
      <w:r>
        <w:t>Когда цель достигнута или основание прекратилось, данные уничтожаются либо блокируются в предусмотренных случаях. Оператор контролирует удаление и у подрядчиков. Новая редакция политики публикуется с датой. Если изменение обработки требует нового согласия, оно запрашивается отдельно.</w:t>
      </w:r>
    </w:p>
    <w:p>
      <w:pPr>
        <w:pStyle w:val="Heading1"/>
      </w:pPr>
      <w:r>
        <w:t>Реквизиты организации</w:t>
      </w:r>
    </w:p>
    <w:p>
      <w:pPr>
        <w:pStyle w:val="ListBullet"/>
        <w:numPr>
          <w:ilvl w:val="0"/>
          <w:numId w:val="10"/>
        </w:numPr>
      </w:pPr>
      <w:r>
        <w:t>Общество с ограниченной ответственностью «ДИАМЕД», ИНН 5018146360, КПП 501801001, ОГРН 1105018005234, адрес: 141080, Московская область, г. Королёв, ул. Горького, д. 2А, помещ. VI.</w:t>
      </w:r>
    </w:p>
    <w:p>
      <w:pPr>
        <w:pStyle w:val="ListBullet"/>
        <w:numPr>
          <w:ilvl w:val="0"/>
          <w:numId w:val="10"/>
        </w:numPr>
      </w:pPr>
      <w:r>
        <w:t>Электронная почта: korolev@diamed.group.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cook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